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91A" w14:textId="77777777" w:rsidR="00B62D41" w:rsidRDefault="00B62D41" w:rsidP="00284EEE">
      <w:pPr>
        <w:ind w:hanging="851"/>
        <w:jc w:val="center"/>
        <w:rPr>
          <w:rFonts w:ascii="Bookman Old Style" w:hAnsi="Bookman Old Style"/>
          <w:noProof/>
        </w:rPr>
      </w:pPr>
    </w:p>
    <w:p w14:paraId="4A8B8EB4" w14:textId="5EBF805C" w:rsidR="005164EE" w:rsidRDefault="00284EEE" w:rsidP="00284EEE">
      <w:pPr>
        <w:ind w:hanging="851"/>
        <w:jc w:val="center"/>
      </w:pPr>
      <w:r>
        <w:rPr>
          <w:rFonts w:ascii="Bookman Old Style" w:hAnsi="Bookman Old Style"/>
          <w:noProof/>
        </w:rPr>
        <w:drawing>
          <wp:inline distT="0" distB="0" distL="114300" distR="114300" wp14:anchorId="3EC4E873" wp14:editId="231648CA">
            <wp:extent cx="1952625" cy="609600"/>
            <wp:effectExtent l="0" t="0" r="9525" b="0"/>
            <wp:docPr id="6" name="Picture 3" descr="ut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utm-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3960" w14:textId="77777777" w:rsidR="00284EEE" w:rsidRPr="00284EEE" w:rsidRDefault="00284EEE" w:rsidP="00284EEE">
      <w:pPr>
        <w:spacing w:after="0" w:line="240" w:lineRule="auto"/>
        <w:ind w:left="-993"/>
        <w:jc w:val="center"/>
        <w:rPr>
          <w:rFonts w:ascii="Calibri" w:hAnsi="Calibri" w:cs="Calibri"/>
          <w:b/>
          <w:bCs/>
          <w:sz w:val="20"/>
          <w:szCs w:val="20"/>
        </w:rPr>
      </w:pPr>
      <w:r w:rsidRPr="00284EEE">
        <w:rPr>
          <w:rFonts w:ascii="Calibri" w:hAnsi="Calibri" w:cs="Calibri"/>
          <w:b/>
          <w:bCs/>
          <w:sz w:val="20"/>
          <w:szCs w:val="20"/>
        </w:rPr>
        <w:t>PEJABAT NAIB CANSELOR</w:t>
      </w:r>
    </w:p>
    <w:p w14:paraId="1C75C6F6" w14:textId="18105091" w:rsidR="00284EEE" w:rsidRPr="00284EEE" w:rsidRDefault="00284EEE" w:rsidP="00284EEE">
      <w:pPr>
        <w:spacing w:after="0" w:line="240" w:lineRule="auto"/>
        <w:ind w:left="-993"/>
        <w:jc w:val="center"/>
        <w:rPr>
          <w:rFonts w:ascii="Calibri" w:hAnsi="Calibri" w:cs="Calibri"/>
          <w:b/>
          <w:bCs/>
          <w:sz w:val="20"/>
          <w:szCs w:val="20"/>
        </w:rPr>
      </w:pPr>
      <w:r w:rsidRPr="00284EEE">
        <w:rPr>
          <w:rFonts w:ascii="Calibri" w:hAnsi="Calibri" w:cs="Calibri"/>
          <w:b/>
          <w:bCs/>
          <w:sz w:val="20"/>
          <w:szCs w:val="20"/>
        </w:rPr>
        <w:t>UNIVERSITI TEKNOLOGI MALAYSIA</w:t>
      </w:r>
    </w:p>
    <w:p w14:paraId="5DB37073" w14:textId="44EF93F5" w:rsidR="00284EEE" w:rsidRPr="00284EEE" w:rsidRDefault="00284EEE" w:rsidP="00284EEE">
      <w:pPr>
        <w:pStyle w:val="Heading3"/>
        <w:spacing w:after="0" w:line="360" w:lineRule="auto"/>
        <w:ind w:left="-993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nb-NO"/>
        </w:rPr>
      </w:pPr>
      <w:r w:rsidRPr="00284EEE">
        <w:rPr>
          <w:rFonts w:ascii="Calibri" w:hAnsi="Calibri" w:cs="Calibri"/>
          <w:b/>
          <w:bCs/>
          <w:color w:val="000000" w:themeColor="text1"/>
          <w:sz w:val="20"/>
          <w:szCs w:val="20"/>
          <w:lang w:val="nb-NO"/>
        </w:rPr>
        <w:t>KENYATAAN SEBUT HARGA</w:t>
      </w:r>
    </w:p>
    <w:p w14:paraId="0949FE7C" w14:textId="4D8F4B9D" w:rsidR="00284EEE" w:rsidRDefault="00284EEE" w:rsidP="00284EEE">
      <w:pPr>
        <w:pStyle w:val="ListParagraph"/>
        <w:numPr>
          <w:ilvl w:val="0"/>
          <w:numId w:val="1"/>
        </w:numPr>
        <w:spacing w:after="0" w:line="240" w:lineRule="auto"/>
        <w:ind w:left="-709" w:right="43" w:hanging="284"/>
        <w:jc w:val="both"/>
        <w:rPr>
          <w:rFonts w:ascii="Calibri" w:hAnsi="Calibri" w:cs="Calibri"/>
          <w:sz w:val="18"/>
          <w:szCs w:val="18"/>
          <w:lang w:val="nb-NO"/>
        </w:rPr>
      </w:pPr>
      <w:r w:rsidRPr="00284EEE">
        <w:rPr>
          <w:rFonts w:ascii="Calibri" w:hAnsi="Calibri" w:cs="Calibri"/>
          <w:sz w:val="18"/>
          <w:szCs w:val="18"/>
          <w:lang w:val="nb-NO"/>
        </w:rPr>
        <w:t xml:space="preserve">Sebut Harga adalah dipelawa kepada pembekal-pembekal yang berpengalaman dan berdaftar dengan </w:t>
      </w: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Kementerian Kewangan Malaysia (MOF)</w:t>
      </w:r>
      <w:r w:rsidRPr="00284EEE">
        <w:rPr>
          <w:rFonts w:ascii="Calibri" w:hAnsi="Calibri" w:cs="Calibri"/>
          <w:sz w:val="18"/>
          <w:szCs w:val="18"/>
          <w:lang w:val="nb-NO"/>
        </w:rPr>
        <w:t xml:space="preserve"> dalam </w:t>
      </w: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kod bidang berkaitan</w:t>
      </w:r>
      <w:r w:rsidRPr="00284EEE">
        <w:rPr>
          <w:rFonts w:ascii="Calibri" w:hAnsi="Calibri" w:cs="Calibri"/>
          <w:sz w:val="18"/>
          <w:szCs w:val="18"/>
          <w:lang w:val="nb-NO"/>
        </w:rPr>
        <w:t xml:space="preserve"> serta masih dibenarkan membuat tawaran buat masa ini bagi menyertai SEBUTHARGA seperti berikut:</w:t>
      </w:r>
    </w:p>
    <w:p w14:paraId="16172BD8" w14:textId="77777777" w:rsidR="00284EEE" w:rsidRPr="00284EEE" w:rsidRDefault="00284EEE" w:rsidP="00284EEE">
      <w:pPr>
        <w:pStyle w:val="ListParagraph"/>
        <w:spacing w:after="0" w:line="240" w:lineRule="auto"/>
        <w:ind w:left="-709" w:right="43"/>
        <w:jc w:val="both"/>
        <w:rPr>
          <w:rFonts w:ascii="Calibri" w:hAnsi="Calibri" w:cs="Calibri"/>
          <w:sz w:val="18"/>
          <w:szCs w:val="18"/>
          <w:lang w:val="nb-NO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1316"/>
        <w:gridCol w:w="1329"/>
        <w:gridCol w:w="934"/>
        <w:gridCol w:w="1420"/>
        <w:gridCol w:w="1493"/>
        <w:gridCol w:w="1853"/>
        <w:gridCol w:w="2004"/>
      </w:tblGrid>
      <w:tr w:rsidR="00284EEE" w:rsidRPr="00284EEE" w14:paraId="57E2AD5F" w14:textId="77777777" w:rsidTr="005E5CF0">
        <w:tc>
          <w:tcPr>
            <w:tcW w:w="1360" w:type="dxa"/>
          </w:tcPr>
          <w:p w14:paraId="76B49D0E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NO. SEBUTHARGA</w:t>
            </w:r>
          </w:p>
        </w:tc>
        <w:tc>
          <w:tcPr>
            <w:tcW w:w="1404" w:type="dxa"/>
          </w:tcPr>
          <w:p w14:paraId="09FA2344" w14:textId="77777777" w:rsidR="00284EEE" w:rsidRPr="00284EEE" w:rsidRDefault="00284EEE" w:rsidP="005E5CF0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TAJUK SEBUT HARGA</w:t>
            </w:r>
          </w:p>
        </w:tc>
        <w:tc>
          <w:tcPr>
            <w:tcW w:w="999" w:type="dxa"/>
          </w:tcPr>
          <w:p w14:paraId="5C27A0DF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TARAF</w:t>
            </w:r>
          </w:p>
        </w:tc>
        <w:tc>
          <w:tcPr>
            <w:tcW w:w="1625" w:type="dxa"/>
          </w:tcPr>
          <w:p w14:paraId="77537B8D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TARIKH DOKUMEN</w:t>
            </w:r>
          </w:p>
        </w:tc>
        <w:tc>
          <w:tcPr>
            <w:tcW w:w="1777" w:type="dxa"/>
          </w:tcPr>
          <w:p w14:paraId="58B7C9AE" w14:textId="77777777" w:rsidR="00284EEE" w:rsidRPr="00284EEE" w:rsidRDefault="00284EEE" w:rsidP="005E5CF0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WAKTU JUALAN, TEMPAT DOKUMEN &amp; SEBUT HARGA DI JUAL</w:t>
            </w:r>
          </w:p>
        </w:tc>
        <w:tc>
          <w:tcPr>
            <w:tcW w:w="1341" w:type="dxa"/>
          </w:tcPr>
          <w:p w14:paraId="1DC102FC" w14:textId="77777777" w:rsidR="00284EEE" w:rsidRPr="00284EEE" w:rsidRDefault="00284EEE" w:rsidP="005E5CF0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KOD BIDANG KEMENTERIAN KEWANGAN MALAYSIA (MOF</w:t>
            </w:r>
          </w:p>
        </w:tc>
        <w:tc>
          <w:tcPr>
            <w:tcW w:w="1843" w:type="dxa"/>
          </w:tcPr>
          <w:p w14:paraId="109C512C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BAYARAN DOKUMEN</w:t>
            </w:r>
          </w:p>
        </w:tc>
      </w:tr>
      <w:tr w:rsidR="00284EEE" w:rsidRPr="00284EEE" w14:paraId="01DCAE33" w14:textId="77777777" w:rsidTr="005E5CF0">
        <w:tc>
          <w:tcPr>
            <w:tcW w:w="1360" w:type="dxa"/>
          </w:tcPr>
          <w:p w14:paraId="2E21EBAE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</w:rPr>
              <w:t>SHJ042026</w:t>
            </w:r>
          </w:p>
          <w:p w14:paraId="665B47B4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</w:rPr>
              <w:t>000023/PNC/</w:t>
            </w:r>
          </w:p>
          <w:p w14:paraId="56DAA7E5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</w:rPr>
              <w:t>01/2026</w:t>
            </w:r>
          </w:p>
        </w:tc>
        <w:tc>
          <w:tcPr>
            <w:tcW w:w="1404" w:type="dxa"/>
          </w:tcPr>
          <w:p w14:paraId="1D67DE6D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 xml:space="preserve">Membekal, Menghantar, Memasang, Menguji dan Pentauliahan Peralatan Teknologi Maklumat dan Komunikasi (ICT) untuk Pejabat Naib Canselor Universiti Teknologi Malaysia, Johor Bahru, Johor. </w:t>
            </w:r>
          </w:p>
        </w:tc>
        <w:tc>
          <w:tcPr>
            <w:tcW w:w="999" w:type="dxa"/>
          </w:tcPr>
          <w:p w14:paraId="2C25D4E9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Terbuka</w:t>
            </w:r>
          </w:p>
        </w:tc>
        <w:tc>
          <w:tcPr>
            <w:tcW w:w="1625" w:type="dxa"/>
          </w:tcPr>
          <w:p w14:paraId="4265C077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 xml:space="preserve">Tarikh Iklan Sebut Harga: </w:t>
            </w:r>
          </w:p>
          <w:p w14:paraId="54957C8E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14 April 2026</w:t>
            </w:r>
          </w:p>
          <w:p w14:paraId="05D83FF0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54198053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Tarikh Jual Sebut Harga:</w:t>
            </w:r>
          </w:p>
          <w:p w14:paraId="715CDB72" w14:textId="476284EA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14 April 2026</w:t>
            </w:r>
            <w:r w:rsidR="00FC38CA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, bermula jam 12.00 tengah hari</w:t>
            </w: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 xml:space="preserve"> hingga 27 April 2026</w:t>
            </w:r>
          </w:p>
          <w:p w14:paraId="125BA8D1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61680BE7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Tarikh Tutup Sebut Harga:</w:t>
            </w: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 xml:space="preserve"> 27 April 2026</w:t>
            </w:r>
          </w:p>
          <w:p w14:paraId="6F9D7CAC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07C4D7EF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Masa Tutup Sebut Harga:</w:t>
            </w: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 xml:space="preserve">  Sebelum atau pada jam 12.00 tengah hari</w:t>
            </w:r>
          </w:p>
          <w:p w14:paraId="259CB2A2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077DBD48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 xml:space="preserve">Peti Sebut Harga: </w:t>
            </w: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Pusat Komunikasi Korporat (PKK)</w:t>
            </w:r>
          </w:p>
          <w:p w14:paraId="7DD3311E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  <w:lang w:val="nb-NO"/>
              </w:rPr>
              <w:t>Aras 2, Bangunan</w:t>
            </w:r>
            <w:r w:rsidRPr="00284EEE">
              <w:rPr>
                <w:rFonts w:ascii="Calibri" w:hAnsi="Calibri" w:cs="Calibri"/>
                <w:b/>
                <w:color w:val="FF0000"/>
                <w:sz w:val="18"/>
                <w:szCs w:val="18"/>
                <w:lang w:val="nb-NO"/>
              </w:rPr>
              <w:t xml:space="preserve"> </w:t>
            </w: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  <w:lang w:val="nb-NO"/>
              </w:rPr>
              <w:t xml:space="preserve">Canseleri Sultan Ibrahim, UTM </w:t>
            </w: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81310 Johor Bahru, Johor</w:t>
            </w:r>
          </w:p>
        </w:tc>
        <w:tc>
          <w:tcPr>
            <w:tcW w:w="1777" w:type="dxa"/>
          </w:tcPr>
          <w:p w14:paraId="2A10546B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Waktu Pejabat:</w:t>
            </w:r>
          </w:p>
          <w:p w14:paraId="4F8364E9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Isnin – Khamis</w:t>
            </w:r>
          </w:p>
          <w:p w14:paraId="7EC328E4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9.00pg – 12.30tgh</w:t>
            </w:r>
          </w:p>
          <w:p w14:paraId="2004A266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</w:p>
          <w:p w14:paraId="6CD6E85C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2.15ptg – 4.00ptg</w:t>
            </w:r>
          </w:p>
          <w:p w14:paraId="0B9D124D" w14:textId="77777777" w:rsidR="00284EEE" w:rsidRPr="00284EEE" w:rsidRDefault="00284EEE" w:rsidP="005E5CF0">
            <w:pPr>
              <w:rPr>
                <w:rFonts w:ascii="Calibri" w:hAnsi="Calibri" w:cs="Calibri"/>
                <w:sz w:val="18"/>
                <w:szCs w:val="18"/>
                <w:lang w:val="nb-NO"/>
              </w:rPr>
            </w:pPr>
          </w:p>
          <w:p w14:paraId="23D3D7A3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Jumaat</w:t>
            </w:r>
          </w:p>
          <w:p w14:paraId="11043C85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9.00pg – 12.30tgh</w:t>
            </w:r>
          </w:p>
          <w:p w14:paraId="6A92658C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</w:p>
          <w:p w14:paraId="0D4EA4A6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2.45ptg – 4.00ptg</w:t>
            </w:r>
          </w:p>
          <w:p w14:paraId="1D0F204A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68568242" w14:textId="77777777" w:rsidR="00284EEE" w:rsidRPr="00284EEE" w:rsidRDefault="00284EEE" w:rsidP="005E5CF0">
            <w:pPr>
              <w:rPr>
                <w:rFonts w:ascii="Calibri" w:hAnsi="Calibri" w:cs="Calibri"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sz w:val="18"/>
                <w:szCs w:val="18"/>
                <w:lang w:val="nb-NO"/>
              </w:rPr>
              <w:t>Tempat Jualan Sebut Harga:</w:t>
            </w:r>
          </w:p>
          <w:p w14:paraId="59D013D6" w14:textId="77777777" w:rsidR="00284EEE" w:rsidRPr="00284EEE" w:rsidRDefault="00284EEE" w:rsidP="005E5CF0">
            <w:pPr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  <w:lang w:val="nb-NO"/>
              </w:rPr>
              <w:t>Pejabat Naib Canselor, Aras 3, Bangunan</w:t>
            </w:r>
            <w:r w:rsidRPr="00284EEE">
              <w:rPr>
                <w:rFonts w:ascii="Calibri" w:hAnsi="Calibri" w:cs="Calibri"/>
                <w:b/>
                <w:color w:val="FF0000"/>
                <w:sz w:val="18"/>
                <w:szCs w:val="18"/>
                <w:lang w:val="nb-NO"/>
              </w:rPr>
              <w:t xml:space="preserve"> </w:t>
            </w: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  <w:lang w:val="nb-NO"/>
              </w:rPr>
              <w:t xml:space="preserve">Canseleri Sultan Ibrahim, UTM </w:t>
            </w:r>
            <w:r w:rsidRPr="00284EE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81310 Johor Bahru, Johor</w:t>
            </w:r>
          </w:p>
          <w:p w14:paraId="1E95EE3B" w14:textId="77777777" w:rsidR="00284EEE" w:rsidRPr="00284EEE" w:rsidRDefault="00284EEE" w:rsidP="005E5CF0">
            <w:pPr>
              <w:rPr>
                <w:rFonts w:ascii="Calibri" w:hAnsi="Calibri" w:cs="Calibri"/>
                <w:sz w:val="18"/>
                <w:szCs w:val="18"/>
                <w:lang w:val="nb-NO"/>
              </w:rPr>
            </w:pPr>
          </w:p>
        </w:tc>
        <w:tc>
          <w:tcPr>
            <w:tcW w:w="1341" w:type="dxa"/>
          </w:tcPr>
          <w:p w14:paraId="78E12014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210101</w:t>
            </w:r>
          </w:p>
          <w:p w14:paraId="6F988684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ICT (INFORMATION COMMUNICATION TECHNOLOGY) (Bekalan Dan Perkhidmatan Bagi Sektor Teknologi Maklumat Dan Komunikasi)/</w:t>
            </w:r>
            <w:r w:rsidRPr="00284E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>Peralatan Dan Kelengkapan Komputer, Perkakasan Dan Komponen/Hardware (Low End Technology)</w:t>
            </w:r>
          </w:p>
        </w:tc>
        <w:tc>
          <w:tcPr>
            <w:tcW w:w="1843" w:type="dxa"/>
          </w:tcPr>
          <w:p w14:paraId="496D5B7B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4EEE"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  <w:t xml:space="preserve">* Bayaran sebanyak RM30.00 dengan cara imbas QR di bawah untuk terus ke </w:t>
            </w:r>
            <w:r>
              <w:fldChar w:fldCharType="begin"/>
            </w:r>
            <w:r>
              <w:instrText>HYPERLINK "https://payhub.utm.my"</w:instrText>
            </w:r>
            <w:r>
              <w:fldChar w:fldCharType="separate"/>
            </w:r>
            <w:r w:rsidRPr="00284EEE">
              <w:rPr>
                <w:rStyle w:val="Hyperlink"/>
                <w:rFonts w:ascii="Calibri" w:eastAsiaTheme="majorEastAsia" w:hAnsi="Calibri" w:cs="Calibri"/>
                <w:b/>
                <w:sz w:val="18"/>
                <w:szCs w:val="18"/>
              </w:rPr>
              <w:t>https://payhub.utm.my</w:t>
            </w:r>
            <w:r>
              <w:fldChar w:fldCharType="end"/>
            </w:r>
            <w:r w:rsidRPr="00284EE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84EEE">
              <w:rPr>
                <w:rFonts w:ascii="Calibri" w:hAnsi="Calibri" w:cs="Calibri"/>
                <w:b/>
                <w:sz w:val="18"/>
                <w:szCs w:val="18"/>
              </w:rPr>
              <w:t>dengan</w:t>
            </w:r>
            <w:proofErr w:type="spellEnd"/>
            <w:r w:rsidRPr="00284EE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84EEE">
              <w:rPr>
                <w:rFonts w:ascii="Calibri" w:hAnsi="Calibri" w:cs="Calibri"/>
                <w:b/>
                <w:sz w:val="18"/>
                <w:szCs w:val="18"/>
              </w:rPr>
              <w:t>memilih</w:t>
            </w:r>
            <w:proofErr w:type="spellEnd"/>
            <w:r w:rsidRPr="00284EEE">
              <w:rPr>
                <w:rFonts w:ascii="Calibri" w:hAnsi="Calibri" w:cs="Calibri"/>
                <w:b/>
                <w:sz w:val="18"/>
                <w:szCs w:val="18"/>
              </w:rPr>
              <w:t xml:space="preserve"> (DOKUMEN SH PERALATAN ICT)</w:t>
            </w:r>
          </w:p>
          <w:p w14:paraId="035B5C52" w14:textId="77777777" w:rsidR="00284EEE" w:rsidRPr="00284EEE" w:rsidRDefault="00284EEE" w:rsidP="005E5CF0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  <w:p w14:paraId="62F17913" w14:textId="77777777" w:rsidR="00284EEE" w:rsidRPr="00284EEE" w:rsidRDefault="00284EEE" w:rsidP="005E5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84EEE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EC514E6" wp14:editId="49BFA5CE">
                  <wp:extent cx="962025" cy="819288"/>
                  <wp:effectExtent l="0" t="0" r="0" b="0"/>
                  <wp:docPr id="9677932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537" cy="834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EAC16" w14:textId="77777777" w:rsidR="00284EEE" w:rsidRPr="00284EEE" w:rsidRDefault="00284EEE" w:rsidP="005E5CF0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val="nb-NO"/>
              </w:rPr>
            </w:pPr>
          </w:p>
        </w:tc>
      </w:tr>
    </w:tbl>
    <w:p w14:paraId="1DA2A2E3" w14:textId="77777777" w:rsidR="00284EEE" w:rsidRDefault="00284EEE" w:rsidP="00284EEE">
      <w:pPr>
        <w:spacing w:after="0"/>
        <w:ind w:left="-708" w:hanging="284"/>
        <w:jc w:val="both"/>
        <w:rPr>
          <w:rFonts w:ascii="Calibri" w:hAnsi="Calibri" w:cs="Calibri"/>
          <w:sz w:val="18"/>
          <w:szCs w:val="18"/>
          <w:lang w:val="nb-NO"/>
        </w:rPr>
      </w:pPr>
    </w:p>
    <w:p w14:paraId="29D71E13" w14:textId="7329976A" w:rsidR="00284EEE" w:rsidRPr="00284EEE" w:rsidRDefault="00284EEE" w:rsidP="00284EEE">
      <w:pPr>
        <w:ind w:left="-709" w:hanging="284"/>
        <w:jc w:val="both"/>
        <w:rPr>
          <w:rFonts w:ascii="Calibri" w:hAnsi="Calibri" w:cs="Calibri"/>
          <w:sz w:val="18"/>
          <w:szCs w:val="18"/>
          <w:lang w:val="nb-NO"/>
        </w:rPr>
      </w:pPr>
      <w:r w:rsidRPr="00284EEE">
        <w:rPr>
          <w:rFonts w:ascii="Calibri" w:hAnsi="Calibri" w:cs="Calibri"/>
          <w:sz w:val="18"/>
          <w:szCs w:val="18"/>
          <w:lang w:val="nb-NO"/>
        </w:rPr>
        <w:t>2.</w:t>
      </w:r>
      <w:r w:rsidRPr="00284EEE">
        <w:rPr>
          <w:rFonts w:ascii="Calibri" w:hAnsi="Calibri" w:cs="Calibri"/>
          <w:sz w:val="18"/>
          <w:szCs w:val="18"/>
          <w:lang w:val="nb-NO"/>
        </w:rPr>
        <w:tab/>
        <w:t xml:space="preserve">Dokumen Sebut Harga boleh didapati dengan mengemukakan bukti bayaran secara atas talian (tidak dikembalikan) melalui kaedah yang dinyatakan seperti jadual di atas. Pembekal hendaklah membawa bersama dokumen berikut </w:t>
      </w: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masih dalam tempoh sah laku</w:t>
      </w:r>
      <w:r w:rsidRPr="00284EEE">
        <w:rPr>
          <w:rFonts w:ascii="Calibri" w:hAnsi="Calibri" w:cs="Calibri"/>
          <w:sz w:val="18"/>
          <w:szCs w:val="18"/>
          <w:lang w:val="nb-NO"/>
        </w:rPr>
        <w:t xml:space="preserve"> :-</w:t>
      </w:r>
    </w:p>
    <w:p w14:paraId="3CA99536" w14:textId="77777777" w:rsidR="00284EEE" w:rsidRPr="00284EEE" w:rsidRDefault="00284EEE" w:rsidP="00284EEE">
      <w:pPr>
        <w:spacing w:after="0" w:line="240" w:lineRule="auto"/>
        <w:ind w:left="-426" w:hanging="283"/>
        <w:rPr>
          <w:rFonts w:ascii="Calibri" w:hAnsi="Calibri" w:cs="Calibri"/>
          <w:b/>
          <w:bCs/>
          <w:sz w:val="18"/>
          <w:szCs w:val="18"/>
          <w:lang w:val="nb-NO"/>
        </w:rPr>
      </w:pP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i.    Surat Pewakilan Kuasa yang sah dari syarikat masing-masing yang ditandatangani oleh Penama di Sijil Kementarian Kewangan  Malaysia;</w:t>
      </w:r>
    </w:p>
    <w:p w14:paraId="50CE0CCC" w14:textId="77777777" w:rsidR="00284EEE" w:rsidRPr="00284EEE" w:rsidRDefault="00284EEE" w:rsidP="00284EEE">
      <w:pPr>
        <w:spacing w:after="0" w:line="240" w:lineRule="auto"/>
        <w:ind w:left="-993" w:firstLine="284"/>
        <w:rPr>
          <w:rFonts w:ascii="Calibri" w:hAnsi="Calibri" w:cs="Calibri"/>
          <w:b/>
          <w:bCs/>
          <w:sz w:val="18"/>
          <w:szCs w:val="18"/>
          <w:lang w:val="nb-NO"/>
        </w:rPr>
      </w:pP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 xml:space="preserve">ii.   Salinan fotostat Sijil Kementerian Kewangan Malaysia; dan </w:t>
      </w:r>
    </w:p>
    <w:p w14:paraId="73C6C10E" w14:textId="3AD207C1" w:rsidR="00284EEE" w:rsidRDefault="00284EEE" w:rsidP="00284EEE">
      <w:pPr>
        <w:spacing w:after="0" w:line="240" w:lineRule="auto"/>
        <w:ind w:left="-993" w:firstLine="284"/>
        <w:rPr>
          <w:rFonts w:ascii="Calibri" w:hAnsi="Calibri" w:cs="Calibri"/>
          <w:b/>
          <w:bCs/>
          <w:sz w:val="18"/>
          <w:szCs w:val="18"/>
          <w:lang w:val="nb-NO"/>
        </w:rPr>
      </w:pP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 xml:space="preserve">iii.  Sijil Pematuhan Cukai (TCC) berstatus ‘Patuh’ semasa membeli dokumen tawaran. </w:t>
      </w:r>
    </w:p>
    <w:p w14:paraId="29FCC041" w14:textId="77777777" w:rsidR="00284EEE" w:rsidRPr="00284EEE" w:rsidRDefault="00284EEE" w:rsidP="00284EEE">
      <w:pPr>
        <w:spacing w:after="0" w:line="240" w:lineRule="auto"/>
        <w:ind w:left="-993" w:firstLine="284"/>
        <w:rPr>
          <w:rFonts w:ascii="Calibri" w:hAnsi="Calibri" w:cs="Calibri"/>
          <w:b/>
          <w:bCs/>
          <w:sz w:val="18"/>
          <w:szCs w:val="18"/>
          <w:lang w:val="nb-NO"/>
        </w:rPr>
      </w:pPr>
    </w:p>
    <w:p w14:paraId="4D08C6E8" w14:textId="2837DF5B" w:rsidR="00284EEE" w:rsidRPr="00284EEE" w:rsidRDefault="00284EEE" w:rsidP="00284EEE">
      <w:pPr>
        <w:ind w:left="-709" w:hanging="284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284EEE">
        <w:rPr>
          <w:rFonts w:ascii="Calibri" w:hAnsi="Calibri" w:cs="Calibri"/>
          <w:sz w:val="18"/>
          <w:szCs w:val="18"/>
          <w:lang w:val="nb-NO"/>
        </w:rPr>
        <w:t>3.</w:t>
      </w:r>
      <w:r w:rsidRPr="00284EEE">
        <w:rPr>
          <w:rFonts w:ascii="Calibri" w:hAnsi="Calibri" w:cs="Calibri"/>
          <w:sz w:val="18"/>
          <w:szCs w:val="18"/>
          <w:lang w:val="nb-NO"/>
        </w:rPr>
        <w:tab/>
        <w:t xml:space="preserve">Dokumen Sebut Harga yang telah siap diisi hendaklah dimasukkan ke dalam sampul surat bermetri bertanda </w:t>
      </w: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S</w:t>
      </w:r>
      <w:r w:rsidRPr="00284EEE">
        <w:rPr>
          <w:rFonts w:ascii="Calibri" w:hAnsi="Calibri" w:cs="Calibri"/>
          <w:b/>
          <w:bCs/>
          <w:sz w:val="18"/>
          <w:szCs w:val="18"/>
        </w:rPr>
        <w:t xml:space="preserve">HJ042026000023/PNC/01/2026 </w:t>
      </w:r>
      <w:r w:rsidRPr="00284EEE">
        <w:rPr>
          <w:rFonts w:ascii="Calibri" w:hAnsi="Calibri" w:cs="Calibri"/>
          <w:sz w:val="18"/>
          <w:szCs w:val="18"/>
          <w:lang w:val="nb-NO"/>
        </w:rPr>
        <w:t xml:space="preserve">dan dimasukkan ke dalam Peti Sebut Harga yang terletak di </w:t>
      </w:r>
      <w:r w:rsidRPr="00284EEE">
        <w:rPr>
          <w:rFonts w:ascii="Calibri" w:hAnsi="Calibri" w:cs="Calibri"/>
          <w:b/>
          <w:color w:val="000000"/>
          <w:sz w:val="18"/>
          <w:szCs w:val="18"/>
          <w:lang w:val="nb-NO"/>
        </w:rPr>
        <w:t>Pusat Komunikasi Korporat (PKK), Aras 2, Bangunan</w:t>
      </w:r>
      <w:r w:rsidRPr="00284EEE">
        <w:rPr>
          <w:rFonts w:ascii="Calibri" w:hAnsi="Calibri" w:cs="Calibri"/>
          <w:b/>
          <w:color w:val="FF0000"/>
          <w:sz w:val="18"/>
          <w:szCs w:val="18"/>
          <w:lang w:val="nb-NO"/>
        </w:rPr>
        <w:t xml:space="preserve"> </w:t>
      </w:r>
      <w:r w:rsidRPr="00284EEE">
        <w:rPr>
          <w:rFonts w:ascii="Calibri" w:hAnsi="Calibri" w:cs="Calibri"/>
          <w:b/>
          <w:color w:val="000000"/>
          <w:sz w:val="18"/>
          <w:szCs w:val="18"/>
          <w:lang w:val="nb-NO"/>
        </w:rPr>
        <w:t xml:space="preserve">Canseleri Sultan Ibrahim, UTM </w:t>
      </w:r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81310 Johor Bahru, Johor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sebelum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atau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pada 27 April 2026  jam 12.00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tengah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hari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. Tawaran yang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lewat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diterima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dari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tarikh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dan masa yang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ditetapkan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tidak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akan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84EEE">
        <w:rPr>
          <w:rFonts w:ascii="Calibri" w:hAnsi="Calibri" w:cs="Calibri"/>
          <w:b/>
          <w:color w:val="000000"/>
          <w:sz w:val="18"/>
          <w:szCs w:val="18"/>
        </w:rPr>
        <w:t>dipertimbangkan</w:t>
      </w:r>
      <w:proofErr w:type="spellEnd"/>
      <w:r w:rsidRPr="00284EEE">
        <w:rPr>
          <w:rFonts w:ascii="Calibri" w:hAnsi="Calibri" w:cs="Calibri"/>
          <w:b/>
          <w:color w:val="000000"/>
          <w:sz w:val="18"/>
          <w:szCs w:val="18"/>
        </w:rPr>
        <w:t>.</w:t>
      </w:r>
    </w:p>
    <w:p w14:paraId="64C38FF1" w14:textId="77777777" w:rsidR="00284EEE" w:rsidRPr="00284EEE" w:rsidRDefault="00284EEE" w:rsidP="00284EEE">
      <w:pPr>
        <w:ind w:left="-709"/>
        <w:jc w:val="both"/>
        <w:rPr>
          <w:rFonts w:ascii="Calibri" w:hAnsi="Calibri" w:cs="Calibri"/>
          <w:sz w:val="18"/>
          <w:szCs w:val="18"/>
          <w:lang w:val="nb-NO"/>
        </w:rPr>
      </w:pPr>
      <w:r w:rsidRPr="00284EEE">
        <w:rPr>
          <w:rFonts w:ascii="Calibri" w:hAnsi="Calibri" w:cs="Calibri"/>
          <w:sz w:val="18"/>
          <w:szCs w:val="18"/>
          <w:lang w:val="nb-NO"/>
        </w:rPr>
        <w:t xml:space="preserve">Iklan </w:t>
      </w:r>
      <w:r w:rsidRPr="00284EEE">
        <w:rPr>
          <w:rFonts w:ascii="Calibri" w:hAnsi="Calibri" w:cs="Calibri"/>
          <w:b/>
          <w:bCs/>
          <w:sz w:val="18"/>
          <w:szCs w:val="18"/>
          <w:lang w:val="nb-NO"/>
        </w:rPr>
        <w:t>SEBUT HARGA UTM</w:t>
      </w:r>
      <w:r w:rsidRPr="00284EEE">
        <w:rPr>
          <w:rFonts w:ascii="Calibri" w:hAnsi="Calibri" w:cs="Calibri"/>
          <w:sz w:val="18"/>
          <w:szCs w:val="18"/>
          <w:lang w:val="nb-NO"/>
        </w:rPr>
        <w:t xml:space="preserve"> juga boleh dilihat di pautan:</w:t>
      </w:r>
    </w:p>
    <w:p w14:paraId="3D75EC57" w14:textId="77777777" w:rsidR="00284EEE" w:rsidRPr="00284EEE" w:rsidRDefault="00284EEE" w:rsidP="00284EEE">
      <w:pPr>
        <w:pStyle w:val="ListParagraph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Calibri" w:hAnsi="Calibri" w:cs="Calibri"/>
          <w:color w:val="000000" w:themeColor="text1"/>
          <w:sz w:val="18"/>
          <w:szCs w:val="18"/>
          <w:lang w:val="nb-NO"/>
        </w:rPr>
      </w:pPr>
      <w:hyperlink r:id="rId7" w:history="1">
        <w:r w:rsidRPr="00284EEE">
          <w:rPr>
            <w:rStyle w:val="Hyperlink"/>
            <w:rFonts w:ascii="Calibri" w:hAnsi="Calibri" w:cs="Calibri"/>
            <w:color w:val="000000" w:themeColor="text1"/>
            <w:sz w:val="18"/>
            <w:szCs w:val="18"/>
            <w:lang w:val="nb-NO"/>
          </w:rPr>
          <w:t>http://eperolehan.utm.my</w:t>
        </w:r>
      </w:hyperlink>
    </w:p>
    <w:p w14:paraId="76612466" w14:textId="56DBF52B" w:rsidR="00786C06" w:rsidRPr="00786C06" w:rsidRDefault="00786C06" w:rsidP="00284EEE">
      <w:pPr>
        <w:pStyle w:val="ListParagraph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Calibri" w:hAnsi="Calibri" w:cs="Calibri"/>
          <w:color w:val="000000" w:themeColor="text1"/>
          <w:sz w:val="18"/>
          <w:szCs w:val="18"/>
          <w:lang w:val="nb-NO"/>
        </w:rPr>
      </w:pPr>
      <w:hyperlink r:id="rId8" w:history="1">
        <w:r w:rsidRPr="00786C06">
          <w:rPr>
            <w:rStyle w:val="Hyperlink"/>
            <w:rFonts w:ascii="Calibri" w:hAnsi="Calibri" w:cs="Calibri"/>
            <w:color w:val="000000" w:themeColor="text1"/>
            <w:sz w:val="18"/>
            <w:szCs w:val="18"/>
          </w:rPr>
          <w:t>https://mygpis.treasury.gov.my/</w:t>
        </w:r>
      </w:hyperlink>
    </w:p>
    <w:p w14:paraId="2D382A8C" w14:textId="3C1B177F" w:rsidR="00284EEE" w:rsidRPr="00284EEE" w:rsidRDefault="00284EEE" w:rsidP="00284EEE">
      <w:pPr>
        <w:pStyle w:val="ListParagraph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Calibri" w:hAnsi="Calibri" w:cs="Calibri"/>
          <w:sz w:val="18"/>
          <w:szCs w:val="18"/>
          <w:lang w:val="nb-NO"/>
        </w:rPr>
      </w:pPr>
      <w:hyperlink r:id="rId9" w:history="1">
        <w:r w:rsidRPr="00284EEE">
          <w:rPr>
            <w:rStyle w:val="Hyperlink"/>
            <w:rFonts w:ascii="Calibri" w:hAnsi="Calibri" w:cs="Calibri"/>
            <w:color w:val="000000" w:themeColor="text1"/>
            <w:sz w:val="18"/>
            <w:szCs w:val="18"/>
            <w:lang w:val="nb-NO"/>
          </w:rPr>
          <w:t>https://t.me/IKLAN_SH_SEBUTHARGA_UTM</w:t>
        </w:r>
      </w:hyperlink>
    </w:p>
    <w:p w14:paraId="0AC3F02A" w14:textId="77777777" w:rsidR="00284EEE" w:rsidRPr="00284EEE" w:rsidRDefault="00284EEE" w:rsidP="00284EEE">
      <w:pPr>
        <w:jc w:val="center"/>
        <w:rPr>
          <w:rFonts w:ascii="Calibri" w:hAnsi="Calibri" w:cs="Calibri"/>
          <w:sz w:val="18"/>
          <w:szCs w:val="18"/>
        </w:rPr>
      </w:pPr>
    </w:p>
    <w:sectPr w:rsidR="00284EEE" w:rsidRPr="00284EEE" w:rsidSect="00284EEE">
      <w:pgSz w:w="11906" w:h="16838"/>
      <w:pgMar w:top="568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11D9"/>
    <w:multiLevelType w:val="hybridMultilevel"/>
    <w:tmpl w:val="730E5222"/>
    <w:lvl w:ilvl="0" w:tplc="B3404488">
      <w:start w:val="1"/>
      <w:numFmt w:val="lowerRoman"/>
      <w:lvlText w:val="%1)"/>
      <w:lvlJc w:val="left"/>
      <w:pPr>
        <w:ind w:left="-27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7" w:hanging="360"/>
      </w:pPr>
    </w:lvl>
    <w:lvl w:ilvl="2" w:tplc="4409001B" w:tentative="1">
      <w:start w:val="1"/>
      <w:numFmt w:val="lowerRoman"/>
      <w:lvlText w:val="%3."/>
      <w:lvlJc w:val="right"/>
      <w:pPr>
        <w:ind w:left="807" w:hanging="180"/>
      </w:pPr>
    </w:lvl>
    <w:lvl w:ilvl="3" w:tplc="4409000F" w:tentative="1">
      <w:start w:val="1"/>
      <w:numFmt w:val="decimal"/>
      <w:lvlText w:val="%4."/>
      <w:lvlJc w:val="left"/>
      <w:pPr>
        <w:ind w:left="1527" w:hanging="360"/>
      </w:pPr>
    </w:lvl>
    <w:lvl w:ilvl="4" w:tplc="44090019" w:tentative="1">
      <w:start w:val="1"/>
      <w:numFmt w:val="lowerLetter"/>
      <w:lvlText w:val="%5."/>
      <w:lvlJc w:val="left"/>
      <w:pPr>
        <w:ind w:left="2247" w:hanging="360"/>
      </w:pPr>
    </w:lvl>
    <w:lvl w:ilvl="5" w:tplc="4409001B" w:tentative="1">
      <w:start w:val="1"/>
      <w:numFmt w:val="lowerRoman"/>
      <w:lvlText w:val="%6."/>
      <w:lvlJc w:val="right"/>
      <w:pPr>
        <w:ind w:left="2967" w:hanging="180"/>
      </w:pPr>
    </w:lvl>
    <w:lvl w:ilvl="6" w:tplc="4409000F" w:tentative="1">
      <w:start w:val="1"/>
      <w:numFmt w:val="decimal"/>
      <w:lvlText w:val="%7."/>
      <w:lvlJc w:val="left"/>
      <w:pPr>
        <w:ind w:left="3687" w:hanging="360"/>
      </w:pPr>
    </w:lvl>
    <w:lvl w:ilvl="7" w:tplc="44090019" w:tentative="1">
      <w:start w:val="1"/>
      <w:numFmt w:val="lowerLetter"/>
      <w:lvlText w:val="%8."/>
      <w:lvlJc w:val="left"/>
      <w:pPr>
        <w:ind w:left="4407" w:hanging="360"/>
      </w:pPr>
    </w:lvl>
    <w:lvl w:ilvl="8" w:tplc="4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8F20E9F"/>
    <w:multiLevelType w:val="hybridMultilevel"/>
    <w:tmpl w:val="7CE6E5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886024">
    <w:abstractNumId w:val="1"/>
  </w:num>
  <w:num w:numId="2" w16cid:durableId="11352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EE"/>
    <w:rsid w:val="00157652"/>
    <w:rsid w:val="00284EEE"/>
    <w:rsid w:val="005164EE"/>
    <w:rsid w:val="005524CA"/>
    <w:rsid w:val="00786C06"/>
    <w:rsid w:val="008B613F"/>
    <w:rsid w:val="00A063D2"/>
    <w:rsid w:val="00AA6F70"/>
    <w:rsid w:val="00B62D41"/>
    <w:rsid w:val="00CB54A4"/>
    <w:rsid w:val="00F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F602"/>
  <w15:chartTrackingRefBased/>
  <w15:docId w15:val="{B0DC7C39-3079-4FE5-B66F-D27017D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8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84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84E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gpis.treasury.gov.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erolehan.ut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IKLAN_SH_SEBUTHARGA_U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379</Words>
  <Characters>2405</Characters>
  <Application>Microsoft Office Word</Application>
  <DocSecurity>0</DocSecurity>
  <Lines>146</Lines>
  <Paragraphs>45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BANON BINTI NAIM</dc:creator>
  <cp:keywords/>
  <dc:description/>
  <cp:lastModifiedBy>SITI BANON BINTI NAIM</cp:lastModifiedBy>
  <cp:revision>4</cp:revision>
  <dcterms:created xsi:type="dcterms:W3CDTF">2026-04-12T12:22:00Z</dcterms:created>
  <dcterms:modified xsi:type="dcterms:W3CDTF">2026-04-12T13:34:00Z</dcterms:modified>
</cp:coreProperties>
</file>